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FD" w:rsidRPr="00A733E5" w:rsidRDefault="00E854F9" w:rsidP="00A733E5">
      <w:pPr>
        <w:jc w:val="both"/>
        <w:rPr>
          <w:sz w:val="28"/>
          <w:szCs w:val="28"/>
        </w:rPr>
      </w:pPr>
      <w:r w:rsidRPr="00A733E5">
        <w:rPr>
          <w:sz w:val="28"/>
          <w:szCs w:val="28"/>
        </w:rPr>
        <w:t>De conformidad con los artículos 9 y 10 del Acuerdo General 21-06/2013, que establece el Proceso de Entrega-Recepción  de los Recursos del Tribunal Superior de Justicia y del Consejo de la Judicatura, ambos del Distrito Federal, y en cumplimiento al artículo Quinto Transitorio del mismo ordenamiento, fueron aprobados lo</w:t>
      </w:r>
      <w:r w:rsidR="00276E5F">
        <w:rPr>
          <w:sz w:val="28"/>
          <w:szCs w:val="28"/>
        </w:rPr>
        <w:t>s</w:t>
      </w:r>
      <w:r w:rsidRPr="00A733E5">
        <w:rPr>
          <w:sz w:val="28"/>
          <w:szCs w:val="28"/>
        </w:rPr>
        <w:t xml:space="preserve"> Lineamientos, Formatos e Instructivos mediante Acuerdo 11-22/2013, en sesión de fecha catorce de mayo de dos mil trece, el cual dispuso en su artículo Tercero su publicación en el Boletín Judicial del </w:t>
      </w:r>
      <w:r w:rsidRPr="00A733E5">
        <w:rPr>
          <w:sz w:val="28"/>
          <w:szCs w:val="28"/>
        </w:rPr>
        <w:t>Tribunal Superior de Justicia</w:t>
      </w:r>
      <w:r w:rsidRPr="00A733E5">
        <w:rPr>
          <w:sz w:val="28"/>
          <w:szCs w:val="28"/>
        </w:rPr>
        <w:t xml:space="preserve"> del Distrito Federal, para su mayor difusión y conocimiento del público en general, publicación que tuvo lugar el 5 de septiembre de 2013.</w:t>
      </w:r>
    </w:p>
    <w:p w:rsidR="00E854F9" w:rsidRPr="00A733E5" w:rsidRDefault="00E854F9" w:rsidP="00A733E5">
      <w:pPr>
        <w:jc w:val="both"/>
        <w:rPr>
          <w:sz w:val="28"/>
          <w:szCs w:val="28"/>
        </w:rPr>
      </w:pPr>
      <w:r w:rsidRPr="00A733E5">
        <w:rPr>
          <w:sz w:val="28"/>
          <w:szCs w:val="28"/>
        </w:rPr>
        <w:t>Por lo anterior, a partir del 6 de septiembre de 2013, los sujetos obligados al proceso de entrega-recepción de acuerdo con la normatividad aplicable, deberán utilizar para el mismo, los formatos que se ponen a su disposición en los siguientes hipervínculos, que contienen además el texto del Acuerdo 21-06/2013 y el documento de Lineamientos, Formatos e Instructivos aprobados mediante el Acuerdo 11-22/2013.</w:t>
      </w:r>
    </w:p>
    <w:p w:rsidR="00E854F9" w:rsidRDefault="00E434BD" w:rsidP="00A733E5">
      <w:pPr>
        <w:jc w:val="both"/>
        <w:rPr>
          <w:sz w:val="28"/>
          <w:szCs w:val="28"/>
        </w:rPr>
      </w:pPr>
      <w:r w:rsidRPr="00A733E5">
        <w:rPr>
          <w:sz w:val="28"/>
          <w:szCs w:val="28"/>
        </w:rPr>
        <w:t xml:space="preserve">Por lo antes expuesto, </w:t>
      </w:r>
      <w:r w:rsidRPr="00276E5F">
        <w:rPr>
          <w:b/>
          <w:sz w:val="28"/>
          <w:szCs w:val="28"/>
        </w:rPr>
        <w:t xml:space="preserve">quedan </w:t>
      </w:r>
      <w:r w:rsidR="008125F5" w:rsidRPr="00276E5F">
        <w:rPr>
          <w:b/>
          <w:sz w:val="28"/>
          <w:szCs w:val="28"/>
        </w:rPr>
        <w:t>sin efecto legal alguno</w:t>
      </w:r>
      <w:r w:rsidR="008125F5" w:rsidRPr="00A733E5">
        <w:rPr>
          <w:sz w:val="28"/>
          <w:szCs w:val="28"/>
        </w:rPr>
        <w:t>, y no deberán ser utilizados en lo</w:t>
      </w:r>
      <w:bookmarkStart w:id="0" w:name="_GoBack"/>
      <w:bookmarkEnd w:id="0"/>
      <w:r w:rsidR="008125F5" w:rsidRPr="00A733E5">
        <w:rPr>
          <w:sz w:val="28"/>
          <w:szCs w:val="28"/>
        </w:rPr>
        <w:t xml:space="preserve"> sucesivo, ni la normatividad ni los formatos aprobados </w:t>
      </w:r>
      <w:r w:rsidR="008125F5" w:rsidRPr="00A733E5">
        <w:rPr>
          <w:sz w:val="28"/>
          <w:szCs w:val="28"/>
        </w:rPr>
        <w:t>mediante</w:t>
      </w:r>
      <w:r w:rsidR="008125F5" w:rsidRPr="00A733E5">
        <w:rPr>
          <w:sz w:val="28"/>
          <w:szCs w:val="28"/>
        </w:rPr>
        <w:t xml:space="preserve"> </w:t>
      </w:r>
      <w:r w:rsidR="00276E5F">
        <w:rPr>
          <w:sz w:val="28"/>
          <w:szCs w:val="28"/>
        </w:rPr>
        <w:t>los</w:t>
      </w:r>
      <w:r w:rsidR="008125F5" w:rsidRPr="00A733E5">
        <w:rPr>
          <w:sz w:val="28"/>
          <w:szCs w:val="28"/>
        </w:rPr>
        <w:t xml:space="preserve"> </w:t>
      </w:r>
      <w:r w:rsidR="008125F5" w:rsidRPr="00A733E5">
        <w:rPr>
          <w:sz w:val="28"/>
          <w:szCs w:val="28"/>
        </w:rPr>
        <w:t>Acuerdo</w:t>
      </w:r>
      <w:r w:rsidR="00276E5F">
        <w:rPr>
          <w:sz w:val="28"/>
          <w:szCs w:val="28"/>
        </w:rPr>
        <w:t>s</w:t>
      </w:r>
      <w:r w:rsidR="008125F5" w:rsidRPr="00A733E5">
        <w:rPr>
          <w:sz w:val="28"/>
          <w:szCs w:val="28"/>
        </w:rPr>
        <w:t xml:space="preserve"> </w:t>
      </w:r>
      <w:r w:rsidR="00276E5F">
        <w:rPr>
          <w:sz w:val="28"/>
          <w:szCs w:val="28"/>
        </w:rPr>
        <w:t xml:space="preserve">44-19/2003 y </w:t>
      </w:r>
      <w:r w:rsidR="008125F5" w:rsidRPr="00A733E5">
        <w:rPr>
          <w:sz w:val="28"/>
          <w:szCs w:val="28"/>
        </w:rPr>
        <w:t>12-05/2005.</w:t>
      </w:r>
    </w:p>
    <w:p w:rsidR="00A308E2" w:rsidRDefault="00A308E2" w:rsidP="00A733E5">
      <w:pPr>
        <w:jc w:val="both"/>
        <w:rPr>
          <w:sz w:val="28"/>
          <w:szCs w:val="28"/>
        </w:rPr>
      </w:pPr>
    </w:p>
    <w:p w:rsidR="00A308E2" w:rsidRPr="00A733E5" w:rsidRDefault="00A308E2" w:rsidP="00A733E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7A0BF" wp14:editId="121E7470">
                <wp:simplePos x="0" y="0"/>
                <wp:positionH relativeFrom="column">
                  <wp:posOffset>3965575</wp:posOffset>
                </wp:positionH>
                <wp:positionV relativeFrom="paragraph">
                  <wp:posOffset>26670</wp:posOffset>
                </wp:positionV>
                <wp:extent cx="1405467" cy="719667"/>
                <wp:effectExtent l="0" t="0" r="23495" b="234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467" cy="719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E2" w:rsidRPr="00A308E2" w:rsidRDefault="00A308E2" w:rsidP="00A308E2">
                            <w:pPr>
                              <w:spacing w:after="0" w:line="192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Lineamientos, Formatos e Instructivos del Acuerdo 11-22/2013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left:0;text-align:left;margin-left:312.25pt;margin-top:2.1pt;width:110.65pt;height:5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" fillcolor="#4f81bd [3204]" strokecolor="#243f60 [1604]" strokeweight="2pt">
                <v:textbox>
                  <w:txbxContent>
                    <w:p w:rsidR="00A308E2" w:rsidRPr="00A308E2" w:rsidRDefault="00A308E2" w:rsidP="00A308E2">
                      <w:pPr>
                        <w:spacing w:after="0" w:line="192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Lineamientos, Formatos e Instructivos del Acuerdo 11-22/2013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79797</wp:posOffset>
                </wp:positionH>
                <wp:positionV relativeFrom="paragraph">
                  <wp:posOffset>26670</wp:posOffset>
                </wp:positionV>
                <wp:extent cx="1405467" cy="719667"/>
                <wp:effectExtent l="0" t="0" r="23495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467" cy="7196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E2" w:rsidRPr="00A308E2" w:rsidRDefault="00A308E2" w:rsidP="00A308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08E2">
                              <w:rPr>
                                <w:b/>
                              </w:rPr>
                              <w:t>Acuerdo 21-06/2013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7" style="position:absolute;left:0;text-align:left;margin-left:6.3pt;margin-top:2.1pt;width:110.65pt;height:56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" fillcolor="#4f81bd [3204]" strokecolor="#243f60 [1604]" strokeweight="2pt">
                <v:textbox>
                  <w:txbxContent>
                    <w:p w:rsidR="00A308E2" w:rsidRPr="00A308E2" w:rsidRDefault="00A308E2" w:rsidP="00A308E2">
                      <w:pPr>
                        <w:jc w:val="center"/>
                        <w:rPr>
                          <w:b/>
                        </w:rPr>
                      </w:pPr>
                      <w:r w:rsidRPr="00A308E2">
                        <w:rPr>
                          <w:b/>
                        </w:rPr>
                        <w:t>Acuerdo 21-06/2013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08E2" w:rsidRPr="00A73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9"/>
    <w:rsid w:val="00006B4C"/>
    <w:rsid w:val="0001214C"/>
    <w:rsid w:val="00055AAA"/>
    <w:rsid w:val="000E0550"/>
    <w:rsid w:val="00124BFD"/>
    <w:rsid w:val="00144F42"/>
    <w:rsid w:val="00151940"/>
    <w:rsid w:val="001E2D0B"/>
    <w:rsid w:val="001E652F"/>
    <w:rsid w:val="0024760F"/>
    <w:rsid w:val="00276E5F"/>
    <w:rsid w:val="002A5178"/>
    <w:rsid w:val="00362989"/>
    <w:rsid w:val="00366EE2"/>
    <w:rsid w:val="00394CD5"/>
    <w:rsid w:val="003B555E"/>
    <w:rsid w:val="003D5A0E"/>
    <w:rsid w:val="0046686E"/>
    <w:rsid w:val="00481BC3"/>
    <w:rsid w:val="00516599"/>
    <w:rsid w:val="0055219D"/>
    <w:rsid w:val="005A36A8"/>
    <w:rsid w:val="00622D35"/>
    <w:rsid w:val="006C005B"/>
    <w:rsid w:val="006C337F"/>
    <w:rsid w:val="00767117"/>
    <w:rsid w:val="007A017D"/>
    <w:rsid w:val="00806624"/>
    <w:rsid w:val="008118ED"/>
    <w:rsid w:val="008125F5"/>
    <w:rsid w:val="00874988"/>
    <w:rsid w:val="008B144F"/>
    <w:rsid w:val="008D2E95"/>
    <w:rsid w:val="008D4FEE"/>
    <w:rsid w:val="008D5A0C"/>
    <w:rsid w:val="00913701"/>
    <w:rsid w:val="00960C4E"/>
    <w:rsid w:val="00987128"/>
    <w:rsid w:val="009967C6"/>
    <w:rsid w:val="009A1F62"/>
    <w:rsid w:val="00A1745E"/>
    <w:rsid w:val="00A308E2"/>
    <w:rsid w:val="00A372F5"/>
    <w:rsid w:val="00A733E5"/>
    <w:rsid w:val="00AA1EEF"/>
    <w:rsid w:val="00AF75CD"/>
    <w:rsid w:val="00C16BEC"/>
    <w:rsid w:val="00C3622B"/>
    <w:rsid w:val="00C466D1"/>
    <w:rsid w:val="00C835B3"/>
    <w:rsid w:val="00D40887"/>
    <w:rsid w:val="00DA5441"/>
    <w:rsid w:val="00E434BD"/>
    <w:rsid w:val="00E80C97"/>
    <w:rsid w:val="00E854F9"/>
    <w:rsid w:val="00E87AB6"/>
    <w:rsid w:val="00F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9</cp:revision>
  <cp:lastPrinted>2013-09-05T19:08:00Z</cp:lastPrinted>
  <dcterms:created xsi:type="dcterms:W3CDTF">2013-09-05T18:46:00Z</dcterms:created>
  <dcterms:modified xsi:type="dcterms:W3CDTF">2013-09-05T19:08:00Z</dcterms:modified>
</cp:coreProperties>
</file>